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3FF" w:rsidRDefault="009D622B">
      <w:pPr>
        <w:jc w:val="center"/>
        <w:rPr>
          <w:rFonts w:ascii="黑体" w:eastAsia="黑体" w:hAnsi="黑体" w:cs="黑体"/>
          <w:b/>
          <w:sz w:val="32"/>
          <w:szCs w:val="32"/>
        </w:rPr>
      </w:pPr>
      <w:r>
        <w:rPr>
          <w:rStyle w:val="a5"/>
          <w:rFonts w:ascii="仿宋" w:eastAsia="仿宋" w:hAnsi="仿宋" w:cs="仿宋" w:hint="eastAsia"/>
          <w:sz w:val="36"/>
          <w:szCs w:val="36"/>
        </w:rPr>
        <w:t>苏州市2023年乡村振兴软科学研究项目</w:t>
      </w:r>
      <w:r w:rsidRPr="009D622B">
        <w:rPr>
          <w:rStyle w:val="a5"/>
          <w:rFonts w:ascii="仿宋" w:eastAsia="仿宋" w:hAnsi="仿宋" w:cs="仿宋" w:hint="eastAsia"/>
          <w:sz w:val="36"/>
          <w:szCs w:val="36"/>
        </w:rPr>
        <w:t>指南</w:t>
      </w:r>
    </w:p>
    <w:p w:rsidR="000863FF" w:rsidRDefault="003E7A1F">
      <w:pPr>
        <w:rPr>
          <w:rFonts w:ascii="仿宋_GB2312" w:eastAsia="仿宋_GB2312" w:hAnsi="仿宋_GB2312" w:cs="仿宋_GB2312"/>
          <w:b/>
          <w:bCs/>
          <w:sz w:val="28"/>
          <w:szCs w:val="28"/>
          <w:lang/>
        </w:rPr>
      </w:pPr>
      <w:r>
        <w:rPr>
          <w:rFonts w:ascii="仿宋_GB2312" w:eastAsia="仿宋_GB2312" w:hAnsi="仿宋_GB2312" w:cs="仿宋_GB2312"/>
          <w:b/>
          <w:bCs/>
          <w:sz w:val="28"/>
          <w:szCs w:val="28"/>
          <w:lang/>
        </w:rPr>
        <w:t>1</w:t>
      </w:r>
      <w:r>
        <w:rPr>
          <w:rFonts w:ascii="仿宋_GB2312" w:eastAsia="仿宋_GB2312" w:hAnsi="仿宋_GB2312" w:cs="仿宋_GB2312" w:hint="eastAsia"/>
          <w:b/>
          <w:bCs/>
          <w:sz w:val="28"/>
          <w:szCs w:val="28"/>
          <w:lang/>
        </w:rPr>
        <w:t>.</w:t>
      </w:r>
      <w:r>
        <w:rPr>
          <w:rFonts w:ascii="Times New Roman" w:hAnsi="Times New Roman" w:cs="Times New Roman" w:hint="eastAsia"/>
          <w:b/>
          <w:bCs/>
          <w:sz w:val="28"/>
          <w:lang/>
        </w:rPr>
        <w:t>农业农村现代化苏州指数理论与实践总结</w:t>
      </w:r>
    </w:p>
    <w:p w:rsidR="000863FF" w:rsidRDefault="003E7A1F">
      <w:pPr>
        <w:ind w:firstLineChars="200" w:firstLine="562"/>
        <w:rPr>
          <w:rFonts w:ascii="Times New Roman" w:hAnsi="Times New Roman" w:cs="Times New Roman"/>
          <w:b/>
          <w:bCs/>
          <w:sz w:val="28"/>
          <w:lang/>
        </w:rPr>
      </w:pPr>
      <w:r>
        <w:rPr>
          <w:rFonts w:ascii="仿宋_GB2312" w:eastAsia="仿宋_GB2312" w:hAnsi="仿宋_GB2312" w:cs="仿宋_GB2312" w:hint="eastAsia"/>
          <w:b/>
          <w:bCs/>
          <w:sz w:val="28"/>
          <w:szCs w:val="28"/>
          <w:lang/>
        </w:rPr>
        <w:t>要求</w:t>
      </w:r>
      <w:r>
        <w:rPr>
          <w:rFonts w:ascii="仿宋_GB2312" w:eastAsia="仿宋_GB2312" w:hAnsi="仿宋_GB2312" w:cs="仿宋_GB2312"/>
          <w:b/>
          <w:bCs/>
          <w:sz w:val="28"/>
          <w:szCs w:val="28"/>
          <w:lang/>
        </w:rPr>
        <w:t>：</w:t>
      </w:r>
      <w:r>
        <w:rPr>
          <w:rFonts w:ascii="仿宋_GB2312" w:eastAsia="仿宋_GB2312" w:hAnsi="仿宋_GB2312" w:cs="仿宋_GB2312" w:hint="eastAsia"/>
          <w:sz w:val="28"/>
          <w:szCs w:val="28"/>
          <w:lang/>
        </w:rPr>
        <w:t>全面总结农业农村现代化苏州指数的升级迭代历程、理论依托</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现实操作经验和成效</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努力申报教育部哲学社会科学奖</w:t>
      </w:r>
      <w:r>
        <w:rPr>
          <w:rFonts w:ascii="仿宋_GB2312" w:eastAsia="仿宋_GB2312" w:hAnsi="仿宋_GB2312" w:cs="仿宋_GB2312"/>
          <w:sz w:val="28"/>
          <w:szCs w:val="28"/>
          <w:lang/>
        </w:rPr>
        <w:t>。</w:t>
      </w:r>
    </w:p>
    <w:p w:rsidR="000863FF" w:rsidRDefault="003E7A1F">
      <w:pPr>
        <w:rPr>
          <w:rFonts w:ascii="Times New Roman" w:hAnsi="Times New Roman" w:cs="Times New Roman"/>
          <w:b/>
          <w:bCs/>
          <w:sz w:val="28"/>
          <w:lang/>
        </w:rPr>
      </w:pPr>
      <w:r>
        <w:rPr>
          <w:rFonts w:ascii="Times New Roman" w:hAnsi="Times New Roman" w:cs="Times New Roman"/>
          <w:b/>
          <w:bCs/>
          <w:sz w:val="28"/>
          <w:lang/>
        </w:rPr>
        <w:t>2</w:t>
      </w:r>
      <w:r>
        <w:rPr>
          <w:rFonts w:ascii="Times New Roman" w:hAnsi="Times New Roman" w:cs="Times New Roman" w:hint="eastAsia"/>
          <w:b/>
          <w:bCs/>
          <w:sz w:val="28"/>
          <w:lang/>
        </w:rPr>
        <w:t>.</w:t>
      </w:r>
      <w:r>
        <w:rPr>
          <w:rFonts w:ascii="Times New Roman" w:hAnsi="Times New Roman" w:cs="Times New Roman" w:hint="eastAsia"/>
          <w:b/>
          <w:bCs/>
          <w:sz w:val="28"/>
          <w:lang/>
        </w:rPr>
        <w:t>苏州乡村振兴片区化建设行动方案研究</w:t>
      </w:r>
    </w:p>
    <w:p w:rsidR="000863FF" w:rsidRDefault="003E7A1F">
      <w:pPr>
        <w:ind w:firstLineChars="200" w:firstLine="562"/>
        <w:rPr>
          <w:rFonts w:ascii="Times New Roman" w:hAnsi="Times New Roman" w:cs="Times New Roman"/>
          <w:b/>
          <w:bCs/>
          <w:sz w:val="28"/>
          <w:lang/>
        </w:rPr>
      </w:pPr>
      <w:r>
        <w:rPr>
          <w:rFonts w:ascii="仿宋_GB2312" w:eastAsia="仿宋_GB2312" w:hAnsi="仿宋_GB2312" w:cs="仿宋_GB2312" w:hint="eastAsia"/>
          <w:b/>
          <w:bCs/>
          <w:sz w:val="28"/>
          <w:szCs w:val="28"/>
          <w:lang/>
        </w:rPr>
        <w:t>要求</w:t>
      </w:r>
      <w:r>
        <w:rPr>
          <w:rFonts w:ascii="仿宋_GB2312" w:eastAsia="仿宋_GB2312" w:hAnsi="仿宋_GB2312" w:cs="仿宋_GB2312"/>
          <w:b/>
          <w:bCs/>
          <w:sz w:val="28"/>
          <w:szCs w:val="28"/>
          <w:lang/>
        </w:rPr>
        <w:t>：</w:t>
      </w:r>
      <w:r>
        <w:rPr>
          <w:rFonts w:ascii="仿宋_GB2312" w:eastAsia="仿宋_GB2312" w:hAnsi="仿宋_GB2312" w:cs="仿宋_GB2312" w:hint="eastAsia"/>
          <w:sz w:val="28"/>
          <w:szCs w:val="28"/>
          <w:lang/>
        </w:rPr>
        <w:t>立足苏州乡村振兴新发展阶段形势与需求</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以及乡村片区化发展目的</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意义和理论依据</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借鉴国内外经验</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为苏州乡村振兴片区化推进制定系统</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全面的建设行动方案</w:t>
      </w:r>
      <w:r>
        <w:rPr>
          <w:rFonts w:ascii="仿宋_GB2312" w:eastAsia="仿宋_GB2312" w:hAnsi="仿宋_GB2312" w:cs="仿宋_GB2312"/>
          <w:sz w:val="28"/>
          <w:szCs w:val="28"/>
          <w:lang/>
        </w:rPr>
        <w:t>。</w:t>
      </w:r>
    </w:p>
    <w:p w:rsidR="000863FF" w:rsidRDefault="003E7A1F">
      <w:pPr>
        <w:rPr>
          <w:rFonts w:ascii="Times New Roman" w:hAnsi="Times New Roman" w:cs="Times New Roman"/>
          <w:b/>
          <w:bCs/>
          <w:sz w:val="28"/>
          <w:lang/>
        </w:rPr>
      </w:pPr>
      <w:r>
        <w:rPr>
          <w:rFonts w:ascii="Times New Roman" w:hAnsi="Times New Roman" w:cs="Times New Roman"/>
          <w:b/>
          <w:bCs/>
          <w:sz w:val="28"/>
          <w:lang/>
        </w:rPr>
        <w:t>3</w:t>
      </w:r>
      <w:r>
        <w:rPr>
          <w:rFonts w:ascii="Times New Roman" w:hAnsi="Times New Roman" w:cs="Times New Roman" w:hint="eastAsia"/>
          <w:b/>
          <w:bCs/>
          <w:sz w:val="28"/>
          <w:lang/>
        </w:rPr>
        <w:t>.</w:t>
      </w:r>
      <w:r>
        <w:rPr>
          <w:rFonts w:ascii="Times New Roman" w:hAnsi="Times New Roman" w:cs="Times New Roman" w:hint="eastAsia"/>
          <w:b/>
          <w:bCs/>
          <w:sz w:val="28"/>
          <w:lang/>
        </w:rPr>
        <w:t>苏州乡村振兴片区化建设工作指引研究</w:t>
      </w:r>
    </w:p>
    <w:p w:rsidR="000863FF" w:rsidRDefault="003E7A1F">
      <w:pPr>
        <w:ind w:firstLineChars="200" w:firstLine="562"/>
        <w:rPr>
          <w:rFonts w:ascii="Times New Roman" w:hAnsi="Times New Roman" w:cs="Times New Roman"/>
          <w:b/>
          <w:bCs/>
          <w:sz w:val="28"/>
          <w:lang/>
        </w:rPr>
      </w:pPr>
      <w:r>
        <w:rPr>
          <w:rFonts w:ascii="仿宋_GB2312" w:eastAsia="仿宋_GB2312" w:hAnsi="仿宋_GB2312" w:cs="仿宋_GB2312" w:hint="eastAsia"/>
          <w:b/>
          <w:bCs/>
          <w:sz w:val="28"/>
          <w:szCs w:val="28"/>
          <w:lang/>
        </w:rPr>
        <w:t>要求</w:t>
      </w:r>
      <w:r>
        <w:rPr>
          <w:rFonts w:ascii="仿宋_GB2312" w:eastAsia="仿宋_GB2312" w:hAnsi="仿宋_GB2312" w:cs="仿宋_GB2312"/>
          <w:b/>
          <w:bCs/>
          <w:sz w:val="28"/>
          <w:szCs w:val="28"/>
          <w:lang/>
        </w:rPr>
        <w:t>：</w:t>
      </w:r>
      <w:r>
        <w:rPr>
          <w:rFonts w:ascii="仿宋_GB2312" w:eastAsia="仿宋_GB2312" w:hAnsi="仿宋_GB2312" w:cs="仿宋_GB2312" w:hint="eastAsia"/>
          <w:sz w:val="28"/>
          <w:szCs w:val="28"/>
          <w:lang/>
        </w:rPr>
        <w:t>围绕苏州乡村振兴片区化推进方案确立的目标和推进计划</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从片区化定、主要任务、基本要求、组织实施、推进举措等各个方面对苏州乡村振兴各片区的建设工作指引开展研究</w:t>
      </w:r>
      <w:r>
        <w:rPr>
          <w:rFonts w:ascii="仿宋_GB2312" w:eastAsia="仿宋_GB2312" w:hAnsi="仿宋_GB2312" w:cs="仿宋_GB2312"/>
          <w:sz w:val="28"/>
          <w:szCs w:val="28"/>
          <w:lang/>
        </w:rPr>
        <w:t>。</w:t>
      </w:r>
    </w:p>
    <w:p w:rsidR="000863FF" w:rsidRDefault="003E7A1F">
      <w:pPr>
        <w:numPr>
          <w:ilvl w:val="0"/>
          <w:numId w:val="1"/>
        </w:numPr>
        <w:rPr>
          <w:rFonts w:ascii="Times New Roman" w:hAnsi="Times New Roman" w:cs="Times New Roman"/>
          <w:b/>
          <w:bCs/>
          <w:sz w:val="28"/>
          <w:lang/>
        </w:rPr>
      </w:pPr>
      <w:r>
        <w:rPr>
          <w:rFonts w:ascii="Times New Roman" w:hAnsi="Times New Roman" w:cs="Times New Roman" w:hint="eastAsia"/>
          <w:b/>
          <w:bCs/>
          <w:sz w:val="28"/>
          <w:lang/>
        </w:rPr>
        <w:t>苏州乡村振兴片区化建设考核方案研究</w:t>
      </w:r>
    </w:p>
    <w:p w:rsidR="000863FF" w:rsidRDefault="003E7A1F">
      <w:pPr>
        <w:rPr>
          <w:rFonts w:ascii="仿宋_GB2312" w:eastAsia="仿宋_GB2312" w:hAnsi="仿宋_GB2312" w:cs="仿宋_GB2312"/>
          <w:sz w:val="28"/>
          <w:szCs w:val="28"/>
          <w:lang/>
        </w:rPr>
      </w:pPr>
      <w:r>
        <w:rPr>
          <w:rFonts w:ascii="Times New Roman" w:hAnsi="Times New Roman" w:cs="Times New Roman" w:hint="eastAsia"/>
          <w:b/>
          <w:bCs/>
          <w:sz w:val="28"/>
          <w:lang/>
        </w:rPr>
        <w:t>要求</w:t>
      </w:r>
      <w:r>
        <w:rPr>
          <w:rFonts w:ascii="Times New Roman" w:hAnsi="Times New Roman" w:cs="Times New Roman"/>
          <w:b/>
          <w:bCs/>
          <w:sz w:val="28"/>
          <w:lang/>
        </w:rPr>
        <w:t>：</w:t>
      </w:r>
      <w:r>
        <w:rPr>
          <w:rFonts w:ascii="仿宋_GB2312" w:eastAsia="仿宋_GB2312" w:hAnsi="仿宋_GB2312" w:cs="仿宋_GB2312" w:hint="eastAsia"/>
          <w:sz w:val="28"/>
          <w:szCs w:val="28"/>
          <w:lang/>
        </w:rPr>
        <w:t>结合苏州乡村振兴片区化建设行动方案和工作指引</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吸收借鉴国内外成功经验</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在广泛调研基础上</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制定出苏州乡村振兴片区化建设的考核指标体系与考核方案</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同时提炼理论成果发表</w:t>
      </w:r>
      <w:r>
        <w:rPr>
          <w:rFonts w:ascii="仿宋_GB2312" w:eastAsia="仿宋_GB2312" w:hAnsi="仿宋_GB2312" w:cs="仿宋_GB2312"/>
          <w:sz w:val="28"/>
          <w:szCs w:val="28"/>
          <w:lang/>
        </w:rPr>
        <w:t>。</w:t>
      </w:r>
    </w:p>
    <w:p w:rsidR="000863FF" w:rsidRDefault="003E7A1F">
      <w:pPr>
        <w:numPr>
          <w:ilvl w:val="0"/>
          <w:numId w:val="1"/>
        </w:numPr>
        <w:rPr>
          <w:rFonts w:ascii="Times New Roman" w:hAnsi="Times New Roman" w:cs="Times New Roman"/>
          <w:b/>
          <w:bCs/>
          <w:sz w:val="28"/>
          <w:lang/>
        </w:rPr>
      </w:pPr>
      <w:r>
        <w:rPr>
          <w:rFonts w:ascii="Times New Roman" w:hAnsi="Times New Roman" w:cs="Times New Roman" w:hint="eastAsia"/>
          <w:b/>
          <w:bCs/>
          <w:sz w:val="28"/>
          <w:lang/>
        </w:rPr>
        <w:t>苏州智慧农业国家试点成果总结和下一步行动计划</w:t>
      </w:r>
    </w:p>
    <w:p w:rsidR="000863FF" w:rsidRDefault="003E7A1F">
      <w:pPr>
        <w:rPr>
          <w:rFonts w:ascii="仿宋_GB2312" w:eastAsia="仿宋_GB2312" w:hAnsi="仿宋_GB2312" w:cs="仿宋_GB2312"/>
          <w:sz w:val="28"/>
          <w:szCs w:val="28"/>
          <w:lang/>
        </w:rPr>
      </w:pPr>
      <w:r>
        <w:rPr>
          <w:rFonts w:ascii="Times New Roman" w:hAnsi="Times New Roman" w:cs="Times New Roman" w:hint="eastAsia"/>
          <w:b/>
          <w:bCs/>
          <w:sz w:val="28"/>
          <w:lang/>
        </w:rPr>
        <w:t>要求</w:t>
      </w:r>
      <w:r>
        <w:rPr>
          <w:rFonts w:ascii="Times New Roman" w:hAnsi="Times New Roman" w:cs="Times New Roman"/>
          <w:b/>
          <w:bCs/>
          <w:sz w:val="28"/>
          <w:lang/>
        </w:rPr>
        <w:t>：</w:t>
      </w:r>
      <w:r>
        <w:rPr>
          <w:rFonts w:ascii="仿宋_GB2312" w:eastAsia="仿宋_GB2312" w:hAnsi="仿宋_GB2312" w:cs="仿宋_GB2312" w:hint="eastAsia"/>
          <w:sz w:val="28"/>
          <w:szCs w:val="28"/>
          <w:lang/>
        </w:rPr>
        <w:t>全面系统总结苏州智慧农业国家试点三年实践成果</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经验和成功案例</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并进行理论提炼与出版发表</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对苏州智慧农业下一步深化推进方案开展研究</w:t>
      </w:r>
      <w:r>
        <w:rPr>
          <w:rFonts w:ascii="仿宋_GB2312" w:eastAsia="仿宋_GB2312" w:hAnsi="仿宋_GB2312" w:cs="仿宋_GB2312"/>
          <w:sz w:val="28"/>
          <w:szCs w:val="28"/>
          <w:lang/>
        </w:rPr>
        <w:t>。</w:t>
      </w:r>
    </w:p>
    <w:p w:rsidR="000863FF" w:rsidRDefault="003E7A1F">
      <w:pPr>
        <w:rPr>
          <w:rFonts w:ascii="Times New Roman" w:hAnsi="Times New Roman" w:cs="Times New Roman"/>
          <w:b/>
          <w:bCs/>
          <w:sz w:val="28"/>
          <w:lang/>
        </w:rPr>
      </w:pPr>
      <w:r>
        <w:rPr>
          <w:rFonts w:ascii="Times New Roman" w:hAnsi="Times New Roman" w:cs="Times New Roman"/>
          <w:b/>
          <w:bCs/>
          <w:sz w:val="28"/>
          <w:lang/>
        </w:rPr>
        <w:t>6</w:t>
      </w:r>
      <w:r>
        <w:rPr>
          <w:rFonts w:ascii="Times New Roman" w:hAnsi="Times New Roman" w:cs="Times New Roman" w:hint="eastAsia"/>
          <w:b/>
          <w:bCs/>
          <w:sz w:val="28"/>
          <w:lang/>
        </w:rPr>
        <w:t>.</w:t>
      </w:r>
      <w:r>
        <w:rPr>
          <w:rFonts w:ascii="Times New Roman" w:hAnsi="Times New Roman" w:cs="Times New Roman" w:hint="eastAsia"/>
          <w:b/>
          <w:bCs/>
          <w:sz w:val="28"/>
          <w:lang/>
        </w:rPr>
        <w:t>基于大食物观的苏州粮食安全格局研究</w:t>
      </w:r>
    </w:p>
    <w:p w:rsidR="000863FF" w:rsidRDefault="003E7A1F">
      <w:pPr>
        <w:rPr>
          <w:rFonts w:ascii="Times New Roman" w:hAnsi="Times New Roman" w:cs="Times New Roman"/>
          <w:b/>
          <w:bCs/>
          <w:sz w:val="28"/>
          <w:lang/>
        </w:rPr>
      </w:pPr>
      <w:r>
        <w:rPr>
          <w:rFonts w:ascii="Times New Roman" w:hAnsi="Times New Roman" w:cs="Times New Roman" w:hint="eastAsia"/>
          <w:b/>
          <w:bCs/>
          <w:sz w:val="28"/>
          <w:lang/>
        </w:rPr>
        <w:t>要求</w:t>
      </w:r>
      <w:r>
        <w:rPr>
          <w:rFonts w:ascii="Times New Roman" w:hAnsi="Times New Roman" w:cs="Times New Roman"/>
          <w:b/>
          <w:bCs/>
          <w:sz w:val="28"/>
          <w:lang/>
        </w:rPr>
        <w:t>：</w:t>
      </w:r>
      <w:r>
        <w:rPr>
          <w:rFonts w:ascii="仿宋_GB2312" w:eastAsia="仿宋_GB2312" w:hAnsi="仿宋_GB2312" w:cs="仿宋_GB2312" w:hint="eastAsia"/>
          <w:sz w:val="28"/>
          <w:szCs w:val="28"/>
          <w:lang/>
        </w:rPr>
        <w:t>在全面把握大食物观科学内涵基础上</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对苏州农业稳产保供</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lastRenderedPageBreak/>
        <w:t>粮食安全格局</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农业供给侧改革以及地域特色的农业现代化之路提出针对性建议</w:t>
      </w:r>
      <w:r>
        <w:rPr>
          <w:rFonts w:ascii="仿宋_GB2312" w:eastAsia="仿宋_GB2312" w:hAnsi="仿宋_GB2312" w:cs="仿宋_GB2312"/>
          <w:sz w:val="28"/>
          <w:szCs w:val="28"/>
          <w:lang/>
        </w:rPr>
        <w:t>。</w:t>
      </w:r>
    </w:p>
    <w:p w:rsidR="000863FF" w:rsidRDefault="003E7A1F">
      <w:pPr>
        <w:rPr>
          <w:rFonts w:ascii="Times New Roman" w:hAnsi="Times New Roman" w:cs="Times New Roman"/>
          <w:b/>
          <w:bCs/>
          <w:sz w:val="28"/>
          <w:lang/>
        </w:rPr>
      </w:pPr>
      <w:r>
        <w:rPr>
          <w:rFonts w:ascii="Times New Roman" w:hAnsi="Times New Roman" w:cs="Times New Roman"/>
          <w:b/>
          <w:bCs/>
          <w:sz w:val="28"/>
          <w:lang/>
        </w:rPr>
        <w:t>7</w:t>
      </w:r>
      <w:r>
        <w:rPr>
          <w:rFonts w:ascii="Times New Roman" w:hAnsi="Times New Roman" w:cs="Times New Roman" w:hint="eastAsia"/>
          <w:b/>
          <w:bCs/>
          <w:sz w:val="28"/>
          <w:lang/>
        </w:rPr>
        <w:t>.</w:t>
      </w:r>
      <w:r>
        <w:rPr>
          <w:rFonts w:ascii="Times New Roman" w:hAnsi="Times New Roman" w:cs="Times New Roman" w:hint="eastAsia"/>
          <w:b/>
          <w:bCs/>
          <w:sz w:val="28"/>
          <w:lang/>
        </w:rPr>
        <w:t>苏州乡村伦理图式艺术的价值重估与转化</w:t>
      </w:r>
    </w:p>
    <w:p w:rsidR="000863FF" w:rsidRDefault="003E7A1F">
      <w:pPr>
        <w:rPr>
          <w:rFonts w:ascii="Times New Roman" w:hAnsi="Times New Roman" w:cs="Times New Roman"/>
          <w:b/>
          <w:bCs/>
          <w:sz w:val="28"/>
          <w:lang/>
        </w:rPr>
      </w:pPr>
      <w:r>
        <w:rPr>
          <w:rFonts w:ascii="Times New Roman" w:hAnsi="Times New Roman" w:cs="Times New Roman" w:hint="eastAsia"/>
          <w:b/>
          <w:bCs/>
          <w:sz w:val="28"/>
          <w:lang/>
        </w:rPr>
        <w:t>要求</w:t>
      </w:r>
      <w:r>
        <w:rPr>
          <w:rFonts w:ascii="Times New Roman" w:hAnsi="Times New Roman" w:cs="Times New Roman"/>
          <w:b/>
          <w:bCs/>
          <w:sz w:val="28"/>
          <w:lang/>
        </w:rPr>
        <w:t>：</w:t>
      </w:r>
      <w:r>
        <w:rPr>
          <w:rFonts w:ascii="仿宋_GB2312" w:eastAsia="仿宋_GB2312" w:hAnsi="仿宋_GB2312" w:cs="仿宋_GB2312"/>
          <w:sz w:val="28"/>
          <w:szCs w:val="28"/>
          <w:lang/>
        </w:rPr>
        <w:t>对苏州传统村落进行深入的田野调查，建构乡村伦理图式艺术的谱系，理清伦理图式的生成、传播路径；调查伦理图式对乡村生活的深刻影响，阐明传统伦理图式的</w:t>
      </w:r>
      <w:r>
        <w:rPr>
          <w:rFonts w:ascii="仿宋_GB2312" w:eastAsia="仿宋_GB2312" w:hAnsi="仿宋_GB2312" w:cs="仿宋_GB2312"/>
          <w:sz w:val="28"/>
          <w:szCs w:val="28"/>
          <w:lang/>
        </w:rPr>
        <w:t>“</w:t>
      </w:r>
      <w:r>
        <w:rPr>
          <w:rFonts w:ascii="仿宋_GB2312" w:eastAsia="仿宋_GB2312" w:hAnsi="仿宋_GB2312" w:cs="仿宋_GB2312"/>
          <w:sz w:val="28"/>
          <w:szCs w:val="28"/>
          <w:lang/>
        </w:rPr>
        <w:t>示范价值</w:t>
      </w:r>
      <w:r>
        <w:rPr>
          <w:rFonts w:ascii="仿宋_GB2312" w:eastAsia="仿宋_GB2312" w:hAnsi="仿宋_GB2312" w:cs="仿宋_GB2312"/>
          <w:sz w:val="28"/>
          <w:szCs w:val="28"/>
          <w:lang/>
        </w:rPr>
        <w:t>”</w:t>
      </w:r>
      <w:r>
        <w:rPr>
          <w:rFonts w:ascii="仿宋_GB2312" w:eastAsia="仿宋_GB2312" w:hAnsi="仿宋_GB2312" w:cs="仿宋_GB2312"/>
          <w:sz w:val="28"/>
          <w:szCs w:val="28"/>
          <w:lang/>
        </w:rPr>
        <w:t>，架构乡村伦理图式化的路径，探究传统伦理图式作为精神客体对乡村建设的深刻影响；探讨伦理图式体系的转化机制，揭示新时代中国乡村景观重建面临的关键问题，构建创新设计策略。</w:t>
      </w:r>
    </w:p>
    <w:p w:rsidR="000863FF" w:rsidRDefault="003E7A1F">
      <w:pPr>
        <w:rPr>
          <w:rFonts w:ascii="Times New Roman" w:hAnsi="Times New Roman" w:cs="Times New Roman"/>
          <w:b/>
          <w:bCs/>
          <w:sz w:val="28"/>
          <w:lang/>
        </w:rPr>
      </w:pPr>
      <w:r>
        <w:rPr>
          <w:rFonts w:ascii="Times New Roman" w:hAnsi="Times New Roman" w:cs="Times New Roman"/>
          <w:b/>
          <w:bCs/>
          <w:sz w:val="28"/>
          <w:lang/>
        </w:rPr>
        <w:t>8</w:t>
      </w:r>
      <w:r>
        <w:rPr>
          <w:rFonts w:ascii="Times New Roman" w:hAnsi="Times New Roman" w:cs="Times New Roman" w:hint="eastAsia"/>
          <w:b/>
          <w:bCs/>
          <w:sz w:val="28"/>
          <w:lang/>
        </w:rPr>
        <w:t>.</w:t>
      </w:r>
      <w:r>
        <w:rPr>
          <w:rFonts w:ascii="Times New Roman" w:hAnsi="Times New Roman" w:cs="Times New Roman" w:hint="eastAsia"/>
          <w:b/>
          <w:bCs/>
          <w:sz w:val="28"/>
          <w:lang/>
        </w:rPr>
        <w:t>城乡文化建设的相城实践研究</w:t>
      </w:r>
    </w:p>
    <w:p w:rsidR="000863FF" w:rsidRDefault="003E7A1F">
      <w:pPr>
        <w:rPr>
          <w:rFonts w:ascii="Times New Roman" w:hAnsi="Times New Roman" w:cs="Times New Roman"/>
          <w:b/>
          <w:bCs/>
          <w:sz w:val="28"/>
          <w:lang/>
        </w:rPr>
      </w:pPr>
      <w:r>
        <w:rPr>
          <w:rFonts w:ascii="Times New Roman" w:hAnsi="Times New Roman" w:cs="Times New Roman" w:hint="eastAsia"/>
          <w:b/>
          <w:bCs/>
          <w:sz w:val="28"/>
          <w:lang/>
        </w:rPr>
        <w:t>要求</w:t>
      </w:r>
      <w:r>
        <w:rPr>
          <w:rFonts w:ascii="Times New Roman" w:hAnsi="Times New Roman" w:cs="Times New Roman"/>
          <w:b/>
          <w:bCs/>
          <w:sz w:val="28"/>
          <w:lang/>
        </w:rPr>
        <w:t>：</w:t>
      </w:r>
      <w:r>
        <w:rPr>
          <w:rFonts w:ascii="仿宋_GB2312" w:eastAsia="仿宋_GB2312" w:hAnsi="仿宋_GB2312" w:cs="仿宋_GB2312" w:hint="eastAsia"/>
          <w:sz w:val="28"/>
          <w:szCs w:val="28"/>
          <w:lang/>
        </w:rPr>
        <w:t>在深入调研基础上</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对相城区城乡文化建设成果与经验进行全面系统总结</w:t>
      </w:r>
      <w:r>
        <w:rPr>
          <w:rFonts w:ascii="仿宋_GB2312" w:eastAsia="仿宋_GB2312" w:hAnsi="仿宋_GB2312" w:cs="仿宋_GB2312"/>
          <w:sz w:val="28"/>
          <w:szCs w:val="28"/>
          <w:lang/>
        </w:rPr>
        <w:t>，</w:t>
      </w:r>
      <w:r>
        <w:rPr>
          <w:rFonts w:ascii="仿宋_GB2312" w:eastAsia="仿宋_GB2312" w:hAnsi="仿宋_GB2312" w:cs="仿宋_GB2312" w:hint="eastAsia"/>
          <w:sz w:val="28"/>
          <w:szCs w:val="28"/>
          <w:lang/>
        </w:rPr>
        <w:t>并提炼出可供类似地区借鉴的经验模式</w:t>
      </w:r>
      <w:r>
        <w:rPr>
          <w:rFonts w:ascii="仿宋_GB2312" w:eastAsia="仿宋_GB2312" w:hAnsi="仿宋_GB2312" w:cs="仿宋_GB2312"/>
          <w:sz w:val="28"/>
          <w:szCs w:val="28"/>
          <w:lang/>
        </w:rPr>
        <w:t>。</w:t>
      </w:r>
    </w:p>
    <w:p w:rsidR="000863FF" w:rsidRDefault="003E7A1F">
      <w:pPr>
        <w:rPr>
          <w:rFonts w:ascii="Times New Roman" w:hAnsi="Times New Roman" w:cs="Times New Roman"/>
          <w:b/>
          <w:bCs/>
          <w:sz w:val="28"/>
          <w:lang/>
        </w:rPr>
      </w:pPr>
      <w:r>
        <w:rPr>
          <w:rFonts w:ascii="Times New Roman" w:hAnsi="Times New Roman" w:cs="Times New Roman"/>
          <w:b/>
          <w:bCs/>
          <w:sz w:val="28"/>
          <w:lang/>
        </w:rPr>
        <w:t>9</w:t>
      </w:r>
      <w:r>
        <w:rPr>
          <w:rFonts w:ascii="Times New Roman" w:hAnsi="Times New Roman" w:cs="Times New Roman" w:hint="eastAsia"/>
          <w:b/>
          <w:bCs/>
          <w:sz w:val="28"/>
          <w:lang/>
        </w:rPr>
        <w:t>.</w:t>
      </w:r>
      <w:r>
        <w:rPr>
          <w:rFonts w:ascii="Times New Roman" w:hAnsi="Times New Roman" w:cs="Times New Roman" w:hint="eastAsia"/>
          <w:b/>
          <w:bCs/>
          <w:sz w:val="28"/>
          <w:lang/>
        </w:rPr>
        <w:t>基于地理信息系统</w:t>
      </w:r>
      <w:r>
        <w:rPr>
          <w:rFonts w:ascii="Times New Roman" w:hAnsi="Times New Roman" w:cs="Times New Roman" w:hint="eastAsia"/>
          <w:b/>
          <w:bCs/>
          <w:sz w:val="28"/>
          <w:lang/>
        </w:rPr>
        <w:t>(GIS)</w:t>
      </w:r>
      <w:r>
        <w:rPr>
          <w:rFonts w:ascii="Times New Roman" w:hAnsi="Times New Roman" w:cs="Times New Roman" w:hint="eastAsia"/>
          <w:b/>
          <w:bCs/>
          <w:sz w:val="28"/>
          <w:lang/>
        </w:rPr>
        <w:t>的农房</w:t>
      </w:r>
      <w:r>
        <w:rPr>
          <w:rFonts w:ascii="Times New Roman" w:hAnsi="Times New Roman" w:cs="Times New Roman" w:hint="eastAsia"/>
          <w:b/>
          <w:bCs/>
          <w:sz w:val="28"/>
          <w:lang/>
        </w:rPr>
        <w:t>管理系统平台建设研究</w:t>
      </w:r>
    </w:p>
    <w:p w:rsidR="000863FF" w:rsidRDefault="003E7A1F">
      <w:pPr>
        <w:rPr>
          <w:rFonts w:ascii="Times New Roman" w:hAnsi="Times New Roman" w:cs="Times New Roman"/>
          <w:b/>
          <w:bCs/>
          <w:sz w:val="28"/>
          <w:lang/>
        </w:rPr>
      </w:pPr>
      <w:bookmarkStart w:id="0" w:name="_GoBack"/>
      <w:bookmarkEnd w:id="0"/>
      <w:r>
        <w:rPr>
          <w:rFonts w:ascii="Times New Roman" w:hAnsi="Times New Roman" w:cs="Times New Roman" w:hint="eastAsia"/>
          <w:b/>
          <w:bCs/>
          <w:sz w:val="28"/>
          <w:lang/>
        </w:rPr>
        <w:t>要求</w:t>
      </w:r>
      <w:r>
        <w:rPr>
          <w:rFonts w:ascii="Times New Roman" w:hAnsi="Times New Roman" w:cs="Times New Roman"/>
          <w:b/>
          <w:bCs/>
          <w:sz w:val="28"/>
          <w:lang/>
        </w:rPr>
        <w:t>：</w:t>
      </w:r>
      <w:r>
        <w:rPr>
          <w:rFonts w:ascii="仿宋_GB2312" w:eastAsia="仿宋_GB2312" w:hAnsi="仿宋_GB2312" w:cs="仿宋_GB2312" w:hint="eastAsia"/>
          <w:sz w:val="28"/>
          <w:szCs w:val="28"/>
          <w:lang/>
        </w:rPr>
        <w:t>为配合苏州市全面推进乡村振兴及农业农村现代化行动方案，加快基于</w:t>
      </w:r>
      <w:r>
        <w:rPr>
          <w:rFonts w:ascii="仿宋_GB2312" w:eastAsia="仿宋_GB2312" w:hAnsi="仿宋_GB2312" w:cs="仿宋_GB2312" w:hint="eastAsia"/>
          <w:sz w:val="28"/>
          <w:szCs w:val="28"/>
          <w:lang/>
        </w:rPr>
        <w:t>GIS</w:t>
      </w:r>
      <w:r>
        <w:rPr>
          <w:rFonts w:ascii="仿宋_GB2312" w:eastAsia="仿宋_GB2312" w:hAnsi="仿宋_GB2312" w:cs="仿宋_GB2312" w:hint="eastAsia"/>
          <w:sz w:val="28"/>
          <w:szCs w:val="28"/>
          <w:lang/>
        </w:rPr>
        <w:t>的全市农房管理系统平台建设，提升农房建设和管理水平，结合当前苏州市智慧乡村建设模式，并对苏州辖区行政村进行抽样调查与分析，研究农房管理系统的建设方案和运行模式，以满足农业农村管理现代化、服务精准化需求</w:t>
      </w:r>
    </w:p>
    <w:p w:rsidR="000863FF" w:rsidRDefault="000863FF"/>
    <w:sectPr w:rsidR="000863FF" w:rsidSect="000863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A1F" w:rsidRDefault="003E7A1F" w:rsidP="009D622B">
      <w:r>
        <w:separator/>
      </w:r>
    </w:p>
  </w:endnote>
  <w:endnote w:type="continuationSeparator" w:id="1">
    <w:p w:rsidR="003E7A1F" w:rsidRDefault="003E7A1F" w:rsidP="009D6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A1F" w:rsidRDefault="003E7A1F" w:rsidP="009D622B">
      <w:r>
        <w:separator/>
      </w:r>
    </w:p>
  </w:footnote>
  <w:footnote w:type="continuationSeparator" w:id="1">
    <w:p w:rsidR="003E7A1F" w:rsidRDefault="003E7A1F" w:rsidP="009D62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7DEA1D9"/>
    <w:multiLevelType w:val="singleLevel"/>
    <w:tmpl w:val="C7DEA1D9"/>
    <w:lvl w:ilvl="0">
      <w:start w:val="4"/>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3A157D"/>
    <w:rsid w:val="FA47AA79"/>
    <w:rsid w:val="FB7A6519"/>
    <w:rsid w:val="FFBBB7BF"/>
    <w:rsid w:val="000863FF"/>
    <w:rsid w:val="003E7A1F"/>
    <w:rsid w:val="009D622B"/>
    <w:rsid w:val="1FAF0C1C"/>
    <w:rsid w:val="5EE7FE77"/>
    <w:rsid w:val="6AC4D43E"/>
    <w:rsid w:val="6F13FEF7"/>
    <w:rsid w:val="77D619F9"/>
    <w:rsid w:val="77FF8485"/>
    <w:rsid w:val="7A3A157D"/>
    <w:rsid w:val="7EED5CF7"/>
    <w:rsid w:val="7FFEE014"/>
    <w:rsid w:val="9FBB1B65"/>
    <w:rsid w:val="B5FE8FAD"/>
    <w:rsid w:val="BFFF8463"/>
    <w:rsid w:val="DEEB2886"/>
    <w:rsid w:val="F7DFBC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63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D62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D622B"/>
    <w:rPr>
      <w:kern w:val="2"/>
      <w:sz w:val="18"/>
      <w:szCs w:val="18"/>
    </w:rPr>
  </w:style>
  <w:style w:type="paragraph" w:styleId="a4">
    <w:name w:val="footer"/>
    <w:basedOn w:val="a"/>
    <w:link w:val="Char0"/>
    <w:rsid w:val="009D622B"/>
    <w:pPr>
      <w:tabs>
        <w:tab w:val="center" w:pos="4153"/>
        <w:tab w:val="right" w:pos="8306"/>
      </w:tabs>
      <w:snapToGrid w:val="0"/>
      <w:jc w:val="left"/>
    </w:pPr>
    <w:rPr>
      <w:sz w:val="18"/>
      <w:szCs w:val="18"/>
    </w:rPr>
  </w:style>
  <w:style w:type="character" w:customStyle="1" w:styleId="Char0">
    <w:name w:val="页脚 Char"/>
    <w:basedOn w:val="a0"/>
    <w:link w:val="a4"/>
    <w:rsid w:val="009D622B"/>
    <w:rPr>
      <w:kern w:val="2"/>
      <w:sz w:val="18"/>
      <w:szCs w:val="18"/>
    </w:rPr>
  </w:style>
  <w:style w:type="character" w:styleId="a5">
    <w:name w:val="Strong"/>
    <w:basedOn w:val="a0"/>
    <w:qFormat/>
    <w:rsid w:val="009D622B"/>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858</Characters>
  <Application>Microsoft Office Word</Application>
  <DocSecurity>0</DocSecurity>
  <Lines>7</Lines>
  <Paragraphs>2</Paragraphs>
  <ScaleCrop>false</ScaleCrop>
  <Company>HP</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ShaopingFushi</cp:lastModifiedBy>
  <cp:revision>2</cp:revision>
  <dcterms:created xsi:type="dcterms:W3CDTF">2023-04-28T00:12:00Z</dcterms:created>
  <dcterms:modified xsi:type="dcterms:W3CDTF">2023-05-22T01:56:00Z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717A2C0A7CF13917542E4A645B96A731_41</vt:lpwstr>
  </property>
</Properties>
</file>